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995" w:rsidRPr="007D6995" w:rsidRDefault="007D6995" w:rsidP="007D6995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cs="Times New Roman"/>
          <w:sz w:val="24"/>
          <w:szCs w:val="24"/>
          <w:lang w:eastAsia="ru-RU"/>
        </w:rPr>
      </w:pPr>
      <w:r w:rsidRPr="007D6995">
        <w:rPr>
          <w:rFonts w:cs="Times New Roman"/>
          <w:sz w:val="24"/>
          <w:szCs w:val="24"/>
          <w:lang w:eastAsia="ru-RU"/>
        </w:rPr>
        <w:t>Приложение</w:t>
      </w:r>
    </w:p>
    <w:p w:rsidR="007D6995" w:rsidRPr="007D6995" w:rsidRDefault="007D6995" w:rsidP="007D6995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cs="Times New Roman"/>
          <w:sz w:val="24"/>
          <w:szCs w:val="24"/>
          <w:lang w:eastAsia="ru-RU"/>
        </w:rPr>
      </w:pPr>
      <w:r w:rsidRPr="007D6995">
        <w:rPr>
          <w:rFonts w:cs="Times New Roman"/>
          <w:sz w:val="24"/>
          <w:szCs w:val="24"/>
        </w:rPr>
        <w:t>к Подпрограмме «Реализация государственной молодежной политики и организация отдыха и оздоровления детей и молодежи</w:t>
      </w:r>
      <w:r w:rsidRPr="007D6995">
        <w:rPr>
          <w:rFonts w:cs="Times New Roman"/>
          <w:sz w:val="24"/>
          <w:szCs w:val="24"/>
          <w:lang w:eastAsia="ru-RU"/>
        </w:rPr>
        <w:t>»</w:t>
      </w:r>
    </w:p>
    <w:p w:rsidR="007D6995" w:rsidRPr="007D6995" w:rsidRDefault="007D6995" w:rsidP="007D6995">
      <w:pPr>
        <w:pStyle w:val="ConsPlusNormal"/>
        <w:tabs>
          <w:tab w:val="left" w:pos="4111"/>
        </w:tabs>
        <w:ind w:left="5670"/>
        <w:rPr>
          <w:szCs w:val="24"/>
        </w:rPr>
      </w:pPr>
    </w:p>
    <w:p w:rsidR="007D6995" w:rsidRPr="007D6995" w:rsidRDefault="007D6995" w:rsidP="007D6995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cs="Times New Roman"/>
          <w:sz w:val="24"/>
          <w:szCs w:val="24"/>
        </w:rPr>
      </w:pPr>
      <w:r w:rsidRPr="007D6995">
        <w:rPr>
          <w:rFonts w:cs="Times New Roman"/>
          <w:sz w:val="24"/>
          <w:szCs w:val="24"/>
        </w:rPr>
        <w:t xml:space="preserve">(Государственная </w:t>
      </w:r>
      <w:hyperlink r:id="rId6" w:history="1">
        <w:r w:rsidRPr="007D6995">
          <w:rPr>
            <w:rFonts w:cs="Times New Roman"/>
            <w:sz w:val="24"/>
            <w:szCs w:val="24"/>
          </w:rPr>
          <w:t>программа</w:t>
        </w:r>
      </w:hyperlink>
      <w:r w:rsidRPr="007D6995">
        <w:rPr>
          <w:rFonts w:cs="Times New Roman"/>
          <w:sz w:val="24"/>
          <w:szCs w:val="24"/>
        </w:rPr>
        <w:t xml:space="preserve"> </w:t>
      </w:r>
    </w:p>
    <w:p w:rsidR="007D6995" w:rsidRPr="007D6995" w:rsidRDefault="007D6995" w:rsidP="007D6995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cs="Times New Roman"/>
          <w:sz w:val="24"/>
          <w:szCs w:val="24"/>
        </w:rPr>
      </w:pPr>
      <w:r w:rsidRPr="007D6995">
        <w:rPr>
          <w:rFonts w:cs="Times New Roman"/>
          <w:sz w:val="24"/>
          <w:szCs w:val="24"/>
        </w:rPr>
        <w:t>Кировской области</w:t>
      </w:r>
    </w:p>
    <w:p w:rsidR="007D6995" w:rsidRPr="007D6995" w:rsidRDefault="007D6995" w:rsidP="007D6995">
      <w:pPr>
        <w:pStyle w:val="ConsPlusNormal"/>
        <w:tabs>
          <w:tab w:val="left" w:pos="3969"/>
        </w:tabs>
        <w:ind w:left="5670"/>
        <w:rPr>
          <w:szCs w:val="24"/>
        </w:rPr>
      </w:pPr>
      <w:r w:rsidRPr="007D6995">
        <w:rPr>
          <w:szCs w:val="24"/>
        </w:rPr>
        <w:t xml:space="preserve">«Развитие образования», </w:t>
      </w:r>
    </w:p>
    <w:p w:rsidR="007D6995" w:rsidRPr="007D6995" w:rsidRDefault="007D6995" w:rsidP="007D6995">
      <w:pPr>
        <w:pStyle w:val="ConsPlusNormal"/>
        <w:tabs>
          <w:tab w:val="left" w:pos="3969"/>
        </w:tabs>
        <w:ind w:left="5670"/>
        <w:rPr>
          <w:szCs w:val="24"/>
        </w:rPr>
      </w:pPr>
      <w:r w:rsidRPr="007D6995">
        <w:rPr>
          <w:szCs w:val="24"/>
        </w:rPr>
        <w:t xml:space="preserve">утвержденная постановлением </w:t>
      </w:r>
    </w:p>
    <w:p w:rsidR="007D6995" w:rsidRPr="007D6995" w:rsidRDefault="007D6995" w:rsidP="007D6995">
      <w:pPr>
        <w:pStyle w:val="ConsPlusNormal"/>
        <w:tabs>
          <w:tab w:val="left" w:pos="3969"/>
        </w:tabs>
        <w:ind w:left="5670"/>
        <w:rPr>
          <w:szCs w:val="24"/>
        </w:rPr>
      </w:pPr>
      <w:r w:rsidRPr="007D6995">
        <w:rPr>
          <w:szCs w:val="24"/>
        </w:rPr>
        <w:t>Правительства Кировской области</w:t>
      </w:r>
    </w:p>
    <w:p w:rsidR="007D6995" w:rsidRDefault="007D6995" w:rsidP="007D6995">
      <w:pPr>
        <w:pStyle w:val="ConsPlusNormal"/>
        <w:tabs>
          <w:tab w:val="left" w:pos="4111"/>
        </w:tabs>
        <w:ind w:left="5670"/>
        <w:rPr>
          <w:szCs w:val="24"/>
        </w:rPr>
      </w:pPr>
      <w:r w:rsidRPr="007D6995">
        <w:rPr>
          <w:szCs w:val="24"/>
        </w:rPr>
        <w:t>от 30.12.2019 № 754-П</w:t>
      </w:r>
    </w:p>
    <w:p w:rsidR="007D6995" w:rsidRPr="007D6995" w:rsidRDefault="007D6995" w:rsidP="007D6995">
      <w:pPr>
        <w:pStyle w:val="ConsPlusNormal"/>
        <w:tabs>
          <w:tab w:val="left" w:pos="4111"/>
        </w:tabs>
        <w:rPr>
          <w:szCs w:val="24"/>
        </w:rPr>
      </w:pPr>
    </w:p>
    <w:p w:rsidR="00E8101A" w:rsidRPr="007D6995" w:rsidRDefault="00E8101A" w:rsidP="007D69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caps/>
          <w:sz w:val="24"/>
          <w:szCs w:val="24"/>
        </w:rPr>
      </w:pPr>
      <w:r w:rsidRPr="007D6995">
        <w:rPr>
          <w:rFonts w:cs="Times New Roman"/>
          <w:b/>
          <w:caps/>
          <w:sz w:val="24"/>
          <w:szCs w:val="24"/>
        </w:rPr>
        <w:t xml:space="preserve">Порядок </w:t>
      </w:r>
    </w:p>
    <w:p w:rsidR="00E8101A" w:rsidRPr="007D6995" w:rsidRDefault="00E8101A" w:rsidP="007D69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caps/>
          <w:sz w:val="24"/>
          <w:szCs w:val="24"/>
        </w:rPr>
      </w:pPr>
      <w:r w:rsidRPr="007D6995">
        <w:rPr>
          <w:rFonts w:cs="Times New Roman"/>
          <w:b/>
          <w:caps/>
          <w:sz w:val="24"/>
          <w:szCs w:val="24"/>
        </w:rPr>
        <w:t>предоставления и распределения субсидий местным бюджетам из областного бюджета на оплату стоимости питания детей в лагерях, организованных муниципальными учреждениями, осуществляющими организацию отдыха и оздоровления детей в каникулярное время, с</w:t>
      </w:r>
      <w:r w:rsidR="007D6995">
        <w:rPr>
          <w:rFonts w:cs="Times New Roman"/>
          <w:b/>
          <w:caps/>
          <w:sz w:val="24"/>
          <w:szCs w:val="24"/>
        </w:rPr>
        <w:t xml:space="preserve"> </w:t>
      </w:r>
      <w:r w:rsidRPr="007D6995">
        <w:rPr>
          <w:rFonts w:cs="Times New Roman"/>
          <w:b/>
          <w:caps/>
          <w:sz w:val="24"/>
          <w:szCs w:val="24"/>
        </w:rPr>
        <w:t>дневным пребыванием</w:t>
      </w:r>
    </w:p>
    <w:p w:rsidR="00E8101A" w:rsidRPr="007D6995" w:rsidRDefault="00E8101A" w:rsidP="007D6995">
      <w:pPr>
        <w:pStyle w:val="ConsPlusTitle"/>
        <w:ind w:firstLine="709"/>
        <w:jc w:val="both"/>
        <w:outlineLvl w:val="0"/>
        <w:rPr>
          <w:b w:val="0"/>
          <w:szCs w:val="24"/>
        </w:rPr>
      </w:pPr>
      <w:r w:rsidRPr="007D6995">
        <w:rPr>
          <w:b w:val="0"/>
          <w:szCs w:val="24"/>
        </w:rPr>
        <w:t>1. Общие положения</w:t>
      </w:r>
    </w:p>
    <w:p w:rsidR="00E8101A" w:rsidRPr="007D6995" w:rsidRDefault="00E8101A" w:rsidP="007D6995">
      <w:pPr>
        <w:pStyle w:val="ConsPlusTitle"/>
        <w:ind w:firstLine="709"/>
        <w:jc w:val="both"/>
        <w:outlineLvl w:val="0"/>
        <w:rPr>
          <w:b w:val="0"/>
          <w:szCs w:val="24"/>
        </w:rPr>
      </w:pPr>
    </w:p>
    <w:p w:rsidR="00E8101A" w:rsidRPr="007D6995" w:rsidRDefault="00E8101A" w:rsidP="007D6995">
      <w:pPr>
        <w:pStyle w:val="ConsPlusNormal"/>
        <w:ind w:firstLine="709"/>
        <w:jc w:val="both"/>
        <w:rPr>
          <w:spacing w:val="2"/>
          <w:szCs w:val="24"/>
        </w:rPr>
      </w:pPr>
      <w:r w:rsidRPr="007D6995">
        <w:rPr>
          <w:szCs w:val="24"/>
        </w:rPr>
        <w:t>1.1. Порядок предоставления и распределения субсидий местным</w:t>
      </w:r>
      <w:r w:rsidRPr="007D6995">
        <w:rPr>
          <w:b/>
          <w:szCs w:val="24"/>
        </w:rPr>
        <w:t xml:space="preserve"> </w:t>
      </w:r>
      <w:r w:rsidRPr="007D6995">
        <w:rPr>
          <w:szCs w:val="24"/>
        </w:rPr>
        <w:t xml:space="preserve">бюджетам из областного бюджета на оплату стоимости питания детей в лагерях, организованных муниципальными учреждениями, осуществляющими организацию отдыха и оздоровления детей в каникулярное время, с дневным пребыванием (далее – Порядок), устанавливает правила предоставления и распределения субсидий местным бюджетам из областного бюджета на оплату стоимости питания детей в лагерях, организованных муниципальными учреждениями, осуществляющими организацию отдыха и оздоровления детей в каникулярное время, с дневным пребыванием (далее – субсидия).  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1.2. Субсидия предоставляется в целях софинансирования расходных обязательств муниципальных образований Кировской области (далее – муниципальное образование), связанных с реализацией мероприятий по организации отдыха и оздоровления детей в каникулярное время, в том числе на оплату стоимости питания детей в лагерях, организованных муниципальными учреждениями, осуществляющими организацию отдыха и оздоровления детей в каникулярное время, с дневным пребыванием.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1.3. Субсидия муниципальным образованиям предоставляется министерством спорта и молодежной политики Кировской области (далее – министерство).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1.4. Субсидия предоставляется муниципальным образованиям, соответствующим критериям отбора.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</w:p>
    <w:p w:rsidR="00E8101A" w:rsidRPr="007D6995" w:rsidRDefault="00E8101A" w:rsidP="007D6995">
      <w:pPr>
        <w:pStyle w:val="ConsPlusNormal"/>
        <w:ind w:left="993" w:hanging="284"/>
        <w:jc w:val="both"/>
        <w:rPr>
          <w:szCs w:val="24"/>
        </w:rPr>
      </w:pPr>
      <w:r w:rsidRPr="007D6995">
        <w:rPr>
          <w:szCs w:val="24"/>
        </w:rPr>
        <w:t>2. Критерии отбора муниципальных образований, имеющих право на получение субсидий, и распределение субсидий между муниципальными образованиями</w:t>
      </w:r>
    </w:p>
    <w:p w:rsidR="00E8101A" w:rsidRPr="007D6995" w:rsidRDefault="00E8101A" w:rsidP="007D6995">
      <w:pPr>
        <w:pStyle w:val="ConsPlusNormal"/>
        <w:ind w:left="993" w:hanging="284"/>
        <w:jc w:val="both"/>
        <w:rPr>
          <w:szCs w:val="24"/>
        </w:rPr>
      </w:pP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2.1. Критерием отбора муниципальных образования для получения субсидий является наличие на территории муниципальных образований Кировской области муниципальных организаций, осуществляющих организацию отдыха и оздоровления детей в каникулярное время, с дневным пребыванием.</w:t>
      </w:r>
    </w:p>
    <w:p w:rsidR="00E8101A" w:rsidRPr="007D6995" w:rsidRDefault="00E8101A" w:rsidP="007D69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7D6995">
        <w:rPr>
          <w:rFonts w:cs="Times New Roman"/>
          <w:sz w:val="24"/>
          <w:szCs w:val="24"/>
        </w:rPr>
        <w:t>2.2. Распределение субсидий осуществляется между муниципальными районами, городскими и муниципальными округами Кировской области, соответствующими критерию отбора, на основании заявок, содержащих сведения о планируемом количестве детей</w:t>
      </w:r>
      <w:r w:rsidRPr="007D6995">
        <w:rPr>
          <w:rFonts w:eastAsia="MS Mincho" w:cs="Times New Roman"/>
          <w:sz w:val="24"/>
          <w:szCs w:val="24"/>
        </w:rPr>
        <w:t xml:space="preserve"> школьного возраста и </w:t>
      </w:r>
      <w:r w:rsidRPr="007D6995">
        <w:rPr>
          <w:rFonts w:cs="Times New Roman"/>
          <w:sz w:val="24"/>
          <w:szCs w:val="24"/>
        </w:rPr>
        <w:t xml:space="preserve">продолжительности пребывания детей в соответствующем периоде каникул, подлежащих отдыху и оздоровлению в лагерях с </w:t>
      </w:r>
      <w:r w:rsidRPr="007D6995">
        <w:rPr>
          <w:rFonts w:cs="Times New Roman"/>
          <w:sz w:val="24"/>
          <w:szCs w:val="24"/>
        </w:rPr>
        <w:lastRenderedPageBreak/>
        <w:t>дневным пребыванием, организованных муниципальными учреждениями (далее – заявка), согласно приложению к Порядку.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2.3. Министерство: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 xml:space="preserve">2.3.1. Информирует муниципальные образования о представлении заявок для принятия решения о предоставлении и распределении субсидии путем направления запроса, содержащего дату начала и окончания приема заявок, почтовый и электронный адреса для представления заявок, номер контактного телефона в министерстве. </w:t>
      </w:r>
    </w:p>
    <w:p w:rsidR="00E8101A" w:rsidRPr="007D6995" w:rsidRDefault="00E8101A" w:rsidP="007D6995">
      <w:pPr>
        <w:pStyle w:val="ConsPlusNormal"/>
        <w:ind w:firstLine="709"/>
        <w:jc w:val="both"/>
        <w:rPr>
          <w:spacing w:val="-2"/>
          <w:szCs w:val="24"/>
        </w:rPr>
      </w:pPr>
      <w:r w:rsidRPr="007D6995">
        <w:rPr>
          <w:spacing w:val="-2"/>
          <w:szCs w:val="24"/>
        </w:rPr>
        <w:t>2.3.2. В течение 7 календарных дней рассматривает заявки, поступившие от муниципальных образований, принимает решение о предоставлении и распределении субсидии либо об отказе в ее предоставлении.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Процедура отбора осуществляется на основании заявок от муниципальных образован</w:t>
      </w:r>
      <w:bookmarkStart w:id="0" w:name="_GoBack"/>
      <w:bookmarkEnd w:id="0"/>
      <w:r w:rsidRPr="007D6995">
        <w:rPr>
          <w:szCs w:val="24"/>
        </w:rPr>
        <w:t>ий с указанием информации о количестве детей, распределенных по категориям. Министерство рассчитывает размер необходимой субсидии.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Основанием для принятия решения об отказе в предоставлении субсидии является несоответствие муниципального образования критериям отбора, установленным пунктом 2.1 настоящего Порядка.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Решение об отказе в предоставлении субсидии направляется муниципальному образованию в письменной форме заказным письмом посредством почтовой связи и (или) по электронной почте в течение 3 рабочих дней со дня принятия соответствующего решения с мотивировкой обоснования причины отказа.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2.3.3. Утверждает правовым актом распределение субсидии, которое содержит список муниципальных образований и размер субсидии каждому муниципальному образованию, по которому вынесено решение о предоставлении субсидии,</w:t>
      </w:r>
      <w:r w:rsidRPr="007D6995">
        <w:rPr>
          <w:color w:val="FF0000"/>
          <w:szCs w:val="24"/>
        </w:rPr>
        <w:t xml:space="preserve"> </w:t>
      </w:r>
      <w:r w:rsidRPr="007D6995">
        <w:rPr>
          <w:szCs w:val="24"/>
        </w:rPr>
        <w:t>определяемый в соответствии с разделом 3 настоящего Порядка.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</w:p>
    <w:p w:rsidR="00E8101A" w:rsidRPr="007D6995" w:rsidRDefault="00E8101A" w:rsidP="007D6995">
      <w:pPr>
        <w:pStyle w:val="ConsPlusNormal"/>
        <w:ind w:left="1092" w:hanging="397"/>
        <w:jc w:val="both"/>
        <w:rPr>
          <w:szCs w:val="24"/>
        </w:rPr>
      </w:pPr>
      <w:r w:rsidRPr="007D6995">
        <w:rPr>
          <w:szCs w:val="24"/>
        </w:rPr>
        <w:t xml:space="preserve">3. Методика распределения субсидий между муниципальными образованиями 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Размер субсидии для каждого муниципального образования определяется по следующей формуле:</w:t>
      </w:r>
    </w:p>
    <w:p w:rsidR="00E8101A" w:rsidRPr="007D6995" w:rsidRDefault="00070D92" w:rsidP="007D6995">
      <w:pPr>
        <w:pStyle w:val="ConsPlusNormal"/>
        <w:ind w:left="851"/>
        <w:jc w:val="center"/>
        <w:rPr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Calibri" w:hAnsi="Cambria Math"/>
                  <w:szCs w:val="24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i</m:t>
              </m:r>
            </m:sub>
          </m:sSub>
          <m:r>
            <w:rPr>
              <w:rFonts w:ascii="Cambria Math" w:eastAsia="Cambria Math" w:hAnsi="Cambria Math"/>
              <w:szCs w:val="24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szCs w:val="24"/>
                </w:rPr>
              </m:ctrlPr>
            </m:dPr>
            <m:e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  <w:szCs w:val="24"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  <w:szCs w:val="24"/>
                    </w:rPr>
                    <m:t>g=1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Cs w:val="24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Cs w:val="24"/>
                          <w:lang w:eastAsia="en-US"/>
                        </w:rPr>
                        <m:t>Ч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лi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4"/>
                      <w:lang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х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4"/>
                      <w:lang w:eastAsia="en-US"/>
                    </w:rPr>
                    <m:t xml:space="preserve">  N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х</m:t>
                  </m:r>
                </m:e>
              </m:nary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 xml:space="preserve">  </m:t>
              </m:r>
              <m:sSub>
                <m:sSubPr>
                  <m:ctrlPr>
                    <w:rPr>
                      <w:rFonts w:ascii="Cambria Math" w:eastAsia="Calibri" w:hAnsi="Cambria Math"/>
                      <w:szCs w:val="24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4"/>
                      <w:lang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4"/>
                      <w:lang w:eastAsia="en-US"/>
                    </w:rPr>
                    <m:t>g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4"/>
                  <w:lang w:eastAsia="en-US"/>
                </w:rPr>
                <m:t xml:space="preserve"> +</m:t>
              </m:r>
              <m:sSub>
                <m:sSubPr>
                  <m:ctrlPr>
                    <w:rPr>
                      <w:rFonts w:ascii="Cambria Math" w:eastAsia="Calibri" w:hAnsi="Cambria Math"/>
                      <w:szCs w:val="24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4"/>
                      <w:lang w:eastAsia="en-US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4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 xml:space="preserve">х  </m:t>
              </m:r>
              <m:f>
                <m:fPr>
                  <m:ctrlPr>
                    <w:rPr>
                      <w:rFonts w:ascii="Cambria Math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4"/>
                      <w:lang w:eastAsia="en-US"/>
                    </w:rPr>
                    <m:t xml:space="preserve">N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 xml:space="preserve">  х  </m:t>
              </m:r>
              <m:sSub>
                <m:sSubPr>
                  <m:ctrlPr>
                    <w:rPr>
                      <w:rFonts w:ascii="Cambria Math" w:eastAsia="Calibri" w:hAnsi="Cambria Math"/>
                      <w:szCs w:val="24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4"/>
                      <w:lang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4"/>
                      <w:lang w:eastAsia="en-US"/>
                    </w:rPr>
                    <m:t>g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4"/>
                  <w:lang w:eastAsia="en-US"/>
                </w:rPr>
                <m:t>)</m:t>
              </m:r>
              <m:ctrlPr>
                <w:rPr>
                  <w:rFonts w:ascii="Cambria Math" w:eastAsia="Calibri" w:hAnsi="Cambria Math"/>
                  <w:szCs w:val="24"/>
                  <w:lang w:eastAsia="en-US"/>
                </w:rPr>
              </m:ctrlPr>
            </m:e>
          </m:d>
          <m:r>
            <m:rPr>
              <m:sty m:val="p"/>
            </m:rPr>
            <w:rPr>
              <w:rFonts w:ascii="Cambria Math" w:eastAsia="Calibri" w:hAnsi="Cambria Math"/>
              <w:szCs w:val="24"/>
              <w:lang w:eastAsia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4"/>
            </w:rPr>
            <m:t xml:space="preserve">х  </m:t>
          </m:r>
          <m:r>
            <m:rPr>
              <m:sty m:val="p"/>
            </m:rPr>
            <w:rPr>
              <w:rFonts w:ascii="Cambria Math" w:eastAsia="Calibri" w:hAnsi="Cambria Math"/>
              <w:szCs w:val="24"/>
              <w:lang w:eastAsia="en-US"/>
            </w:rPr>
            <m:t>Y</m:t>
          </m:r>
          <m:r>
            <m:rPr>
              <m:sty m:val="p"/>
            </m:rPr>
            <w:rPr>
              <w:rFonts w:ascii="Cambria Math" w:hAnsi="Cambria Math"/>
              <w:szCs w:val="24"/>
            </w:rPr>
            <m:t xml:space="preserve">, где:             </m:t>
          </m:r>
        </m:oMath>
      </m:oMathPara>
    </w:p>
    <w:p w:rsidR="00E8101A" w:rsidRPr="007D6995" w:rsidRDefault="00070D92" w:rsidP="007D6995">
      <w:pPr>
        <w:pStyle w:val="ConsPlusNormal"/>
        <w:ind w:firstLine="709"/>
        <w:jc w:val="both"/>
        <w:rPr>
          <w:szCs w:val="24"/>
        </w:rPr>
      </w:pPr>
      <m:oMath>
        <m:sSub>
          <m:sSubPr>
            <m:ctrlPr>
              <w:rPr>
                <w:rFonts w:ascii="Cambria Math" w:eastAsia="Calibri" w:hAnsi="Cambria Math"/>
                <w:szCs w:val="24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i</m:t>
            </m:r>
          </m:sub>
        </m:sSub>
      </m:oMath>
      <w:r w:rsidR="00E8101A" w:rsidRPr="007D6995">
        <w:rPr>
          <w:szCs w:val="24"/>
        </w:rPr>
        <w:t xml:space="preserve"> – размер субсидии, предоставляемой i-</w:t>
      </w:r>
      <w:proofErr w:type="spellStart"/>
      <w:r w:rsidR="00E8101A" w:rsidRPr="007D6995">
        <w:rPr>
          <w:szCs w:val="24"/>
        </w:rPr>
        <w:t>му</w:t>
      </w:r>
      <w:proofErr w:type="spellEnd"/>
      <w:r w:rsidR="00E8101A" w:rsidRPr="007D6995">
        <w:rPr>
          <w:szCs w:val="24"/>
        </w:rPr>
        <w:t xml:space="preserve"> муниципальному образованию в соответствующем финансовом году;</w:t>
      </w:r>
    </w:p>
    <w:p w:rsidR="00E8101A" w:rsidRPr="007D6995" w:rsidRDefault="00070D92" w:rsidP="007D6995">
      <w:pPr>
        <w:pStyle w:val="ConsPlusNormal"/>
        <w:ind w:firstLine="709"/>
        <w:jc w:val="both"/>
        <w:rPr>
          <w:szCs w:val="24"/>
        </w:rPr>
      </w:pPr>
      <m:oMath>
        <m:sSub>
          <m:sSubPr>
            <m:ctrlPr>
              <w:rPr>
                <w:rFonts w:ascii="Cambria Math" w:eastAsia="Calibri" w:hAnsi="Cambria Math"/>
                <w:szCs w:val="24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4"/>
                <w:lang w:eastAsia="en-US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лi</m:t>
            </m:r>
          </m:sub>
        </m:sSub>
      </m:oMath>
      <w:r w:rsidR="00E8101A" w:rsidRPr="007D6995">
        <w:rPr>
          <w:szCs w:val="24"/>
        </w:rPr>
        <w:t xml:space="preserve"> – численность детей, имеющих льготу на оплату стоимости питания и подлежащих отдыху и оздоровлению в лагерях, организованных муниципальными учреждениями, осуществляющими организацию отдыха и оздоровления детей в каникулярное время, с дневным пребыванием (далее – лагерь с дневным пребыванием), в i-м муниципальном районе (городском округе) в соответствии с заявкой муниципального района (городского округа);</w:t>
      </w:r>
    </w:p>
    <w:p w:rsidR="00E8101A" w:rsidRPr="007D6995" w:rsidRDefault="00070D92" w:rsidP="007D6995">
      <w:pPr>
        <w:pStyle w:val="ConsPlusNormal"/>
        <w:ind w:firstLine="709"/>
        <w:jc w:val="both"/>
        <w:rPr>
          <w:szCs w:val="24"/>
        </w:rPr>
      </w:pPr>
      <m:oMath>
        <m:sSub>
          <m:sSubPr>
            <m:ctrlPr>
              <w:rPr>
                <w:rFonts w:ascii="Cambria Math" w:eastAsia="Calibri" w:hAnsi="Cambria Math"/>
                <w:szCs w:val="24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4"/>
                <w:lang w:eastAsia="en-US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i</m:t>
            </m:r>
          </m:sub>
        </m:sSub>
      </m:oMath>
      <w:r w:rsidR="00E8101A" w:rsidRPr="007D6995">
        <w:rPr>
          <w:szCs w:val="24"/>
        </w:rPr>
        <w:t xml:space="preserve"> – численность детей, подлежащих отдыху и оздоровлению в лагерях с дневным пребыванием, в i-м муниципальном районе (городском округе) в соответствии с заявкой муниципального района (городского округа);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m:oMath>
        <m:r>
          <m:rPr>
            <m:sty m:val="p"/>
          </m:rPr>
          <w:rPr>
            <w:rFonts w:ascii="Cambria Math" w:eastAsia="Calibri" w:hAnsi="Cambria Math"/>
            <w:szCs w:val="24"/>
            <w:lang w:eastAsia="en-US"/>
          </w:rPr>
          <m:t>N</m:t>
        </m:r>
      </m:oMath>
      <w:r w:rsidRPr="007D6995">
        <w:rPr>
          <w:szCs w:val="24"/>
        </w:rPr>
        <w:t xml:space="preserve"> – расчетная стоимость питания в день для детей в лагерях с дневным пребыванием (для муниципальных районов (городских округов), у которых уровень бюджетной обеспеченности на очередной финансовый год составляет более 1, равная 105,3 рубля, для муниципальных районов (городских округов), у которых уровень бюджетной обеспеченности на очередной финансовый год составляет менее 1, равная 101 рублю);</w:t>
      </w:r>
    </w:p>
    <w:p w:rsidR="00E8101A" w:rsidRPr="007D6995" w:rsidRDefault="00070D92" w:rsidP="007D6995">
      <w:pPr>
        <w:pStyle w:val="ConsPlusNormal"/>
        <w:ind w:firstLine="709"/>
        <w:jc w:val="both"/>
        <w:rPr>
          <w:szCs w:val="24"/>
        </w:rPr>
      </w:pPr>
      <m:oMath>
        <m:sSub>
          <m:sSubPr>
            <m:ctrlPr>
              <w:rPr>
                <w:rFonts w:ascii="Cambria Math" w:eastAsia="Calibri" w:hAnsi="Cambria Math"/>
                <w:szCs w:val="24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4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4"/>
                <w:lang w:eastAsia="en-US"/>
              </w:rPr>
              <m:t>g</m:t>
            </m:r>
          </m:sub>
        </m:sSub>
      </m:oMath>
      <w:r w:rsidR="00E8101A" w:rsidRPr="007D6995">
        <w:rPr>
          <w:szCs w:val="24"/>
        </w:rPr>
        <w:t xml:space="preserve"> – продолжительность пребывания детей в лагерях с дневным пребыванием в g-ю смену в соответствующем периоде каникул (в днях);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n – количество смен g-й продолжительности в смену;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g – продолжительность смены;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lastRenderedPageBreak/>
        <w:t>Y – уровень софинансирования Кировской областью объема расходного обязательства муниципального района (городского округа), равный: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95% – для муниципальных районов (городских округов), у которых уровень расчетной бюджетной обеспеченности на соответствующий финансовый год составляет более 1;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99% – для муниципальных районов (городских округов), у которых уровень расчетной бюджетной обеспеченности на соответствующий финансовый год составляет менее 1.</w:t>
      </w:r>
    </w:p>
    <w:p w:rsidR="00E8101A" w:rsidRPr="007D6995" w:rsidRDefault="00E8101A" w:rsidP="007D6995">
      <w:pPr>
        <w:pStyle w:val="ConsPlusNormal"/>
        <w:ind w:firstLine="709"/>
        <w:jc w:val="both"/>
        <w:rPr>
          <w:szCs w:val="24"/>
        </w:rPr>
      </w:pPr>
      <w:r w:rsidRPr="007D6995">
        <w:rPr>
          <w:szCs w:val="24"/>
        </w:rPr>
        <w:t>Статус детей, имеющих льготу на оплату стоимости питания в лагерях с дневным пребыванием, определяется нормативным правовым актом органа местного самоуправления муниципального района (городского округа), регулирующего правоотношения по организации отдыха, оздоровления и занятости детей в каникулярное время на текущий год.</w:t>
      </w:r>
    </w:p>
    <w:p w:rsidR="00D73D5D" w:rsidRPr="007D6995" w:rsidRDefault="00D73D5D" w:rsidP="007D6995">
      <w:pPr>
        <w:pStyle w:val="ConsPlusNormal"/>
        <w:ind w:left="993" w:hanging="284"/>
        <w:jc w:val="both"/>
        <w:rPr>
          <w:szCs w:val="24"/>
        </w:rPr>
      </w:pPr>
    </w:p>
    <w:sectPr w:rsidR="00D73D5D" w:rsidRPr="007D6995" w:rsidSect="007D6995">
      <w:headerReference w:type="default" r:id="rId7"/>
      <w:pgSz w:w="11906" w:h="16838"/>
      <w:pgMar w:top="851" w:right="851" w:bottom="851" w:left="153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995" w:rsidRDefault="007D6995" w:rsidP="007D6995">
      <w:pPr>
        <w:spacing w:after="0" w:line="240" w:lineRule="auto"/>
      </w:pPr>
      <w:r>
        <w:separator/>
      </w:r>
    </w:p>
  </w:endnote>
  <w:endnote w:type="continuationSeparator" w:id="0">
    <w:p w:rsidR="007D6995" w:rsidRDefault="007D6995" w:rsidP="007D6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995" w:rsidRDefault="007D6995" w:rsidP="007D6995">
      <w:pPr>
        <w:spacing w:after="0" w:line="240" w:lineRule="auto"/>
      </w:pPr>
      <w:r>
        <w:separator/>
      </w:r>
    </w:p>
  </w:footnote>
  <w:footnote w:type="continuationSeparator" w:id="0">
    <w:p w:rsidR="007D6995" w:rsidRDefault="007D6995" w:rsidP="007D6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7296311"/>
      <w:docPartObj>
        <w:docPartGallery w:val="Page Numbers (Top of Page)"/>
        <w:docPartUnique/>
      </w:docPartObj>
    </w:sdtPr>
    <w:sdtContent>
      <w:p w:rsidR="007D6995" w:rsidRDefault="007D6995">
        <w:pPr>
          <w:pStyle w:val="a8"/>
          <w:jc w:val="center"/>
        </w:pPr>
        <w:r w:rsidRPr="007D6995">
          <w:rPr>
            <w:sz w:val="22"/>
            <w:szCs w:val="22"/>
          </w:rPr>
          <w:fldChar w:fldCharType="begin"/>
        </w:r>
        <w:r w:rsidRPr="007D6995">
          <w:rPr>
            <w:sz w:val="22"/>
            <w:szCs w:val="22"/>
          </w:rPr>
          <w:instrText>PAGE   \* MERGEFORMAT</w:instrText>
        </w:r>
        <w:r w:rsidRPr="007D6995">
          <w:rPr>
            <w:sz w:val="22"/>
            <w:szCs w:val="22"/>
          </w:rPr>
          <w:fldChar w:fldCharType="separate"/>
        </w:r>
        <w:r w:rsidR="00070D92">
          <w:rPr>
            <w:noProof/>
            <w:sz w:val="22"/>
            <w:szCs w:val="22"/>
          </w:rPr>
          <w:t>2</w:t>
        </w:r>
        <w:r w:rsidRPr="007D6995">
          <w:rPr>
            <w:sz w:val="22"/>
            <w:szCs w:val="22"/>
          </w:rPr>
          <w:fldChar w:fldCharType="end"/>
        </w:r>
      </w:p>
    </w:sdtContent>
  </w:sdt>
  <w:p w:rsidR="007D6995" w:rsidRDefault="007D699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9ZJaYFwMrQnvrXtX4qAyrn5eS2Ai7tUJqyzjhdFnC1zE/+BjzHdB4K3oe/22eleDZix/aHvHOfsbAm7+xsOVw==" w:salt="jt5N82oMas99aQ5zqD2zg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5C7A"/>
    <w:rsid w:val="00070D92"/>
    <w:rsid w:val="001F5C7A"/>
    <w:rsid w:val="0029357E"/>
    <w:rsid w:val="003C596F"/>
    <w:rsid w:val="007B6C17"/>
    <w:rsid w:val="007D6995"/>
    <w:rsid w:val="00837063"/>
    <w:rsid w:val="009F2486"/>
    <w:rsid w:val="00BF6124"/>
    <w:rsid w:val="00D73D5D"/>
    <w:rsid w:val="00E8101A"/>
    <w:rsid w:val="00F1194E"/>
    <w:rsid w:val="00F8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5B24"/>
  <w15:docId w15:val="{D8656175-AE5E-447E-93E8-DDAC18F1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7A"/>
    <w:pPr>
      <w:spacing w:after="200" w:line="276" w:lineRule="auto"/>
    </w:pPr>
    <w:rPr>
      <w:rFonts w:eastAsiaTheme="minorHAnsi" w:cstheme="minorHAnsi"/>
      <w:spacing w:val="5"/>
      <w:kern w:val="28"/>
      <w:sz w:val="28"/>
      <w:szCs w:val="52"/>
    </w:rPr>
  </w:style>
  <w:style w:type="paragraph" w:styleId="1">
    <w:name w:val="heading 1"/>
    <w:basedOn w:val="a"/>
    <w:next w:val="a"/>
    <w:link w:val="10"/>
    <w:qFormat/>
    <w:rsid w:val="007B6C1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pacing w:val="0"/>
      <w:kern w:val="32"/>
      <w:sz w:val="32"/>
      <w:szCs w:val="32"/>
    </w:rPr>
  </w:style>
  <w:style w:type="paragraph" w:styleId="4">
    <w:name w:val="heading 4"/>
    <w:basedOn w:val="a"/>
    <w:link w:val="40"/>
    <w:uiPriority w:val="9"/>
    <w:qFormat/>
    <w:rsid w:val="007B6C17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pacing w:val="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6C17"/>
    <w:rPr>
      <w:rFonts w:ascii="Cambria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7B6C17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7B6C17"/>
    <w:pPr>
      <w:spacing w:after="0" w:line="240" w:lineRule="auto"/>
      <w:jc w:val="center"/>
    </w:pPr>
    <w:rPr>
      <w:rFonts w:eastAsia="Times New Roman" w:cs="Times New Roman"/>
      <w:spacing w:val="0"/>
      <w:kern w:val="0"/>
      <w:szCs w:val="24"/>
    </w:rPr>
  </w:style>
  <w:style w:type="character" w:customStyle="1" w:styleId="a4">
    <w:name w:val="Заголовок Знак"/>
    <w:basedOn w:val="a0"/>
    <w:link w:val="a3"/>
    <w:rsid w:val="007B6C17"/>
    <w:rPr>
      <w:sz w:val="28"/>
      <w:szCs w:val="24"/>
    </w:rPr>
  </w:style>
  <w:style w:type="character" w:styleId="a5">
    <w:name w:val="Strong"/>
    <w:basedOn w:val="a0"/>
    <w:uiPriority w:val="22"/>
    <w:qFormat/>
    <w:rsid w:val="007B6C17"/>
    <w:rPr>
      <w:b/>
      <w:bCs/>
    </w:rPr>
  </w:style>
  <w:style w:type="paragraph" w:customStyle="1" w:styleId="ConsPlusNormal">
    <w:name w:val="ConsPlusNormal"/>
    <w:rsid w:val="001F5C7A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1F5C7A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5C7A"/>
    <w:pPr>
      <w:spacing w:after="0" w:line="240" w:lineRule="auto"/>
    </w:pPr>
    <w:rPr>
      <w:rFonts w:ascii="Tahoma" w:eastAsia="Times New Roman" w:hAnsi="Tahoma" w:cs="Tahoma"/>
      <w:spacing w:val="0"/>
      <w:kern w:val="0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1F5C7A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D6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D6995"/>
    <w:rPr>
      <w:rFonts w:eastAsiaTheme="minorHAnsi" w:cstheme="minorHAnsi"/>
      <w:spacing w:val="5"/>
      <w:kern w:val="28"/>
      <w:sz w:val="28"/>
      <w:szCs w:val="52"/>
    </w:rPr>
  </w:style>
  <w:style w:type="paragraph" w:styleId="aa">
    <w:name w:val="footer"/>
    <w:basedOn w:val="a"/>
    <w:link w:val="ab"/>
    <w:uiPriority w:val="99"/>
    <w:unhideWhenUsed/>
    <w:rsid w:val="007D6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D6995"/>
    <w:rPr>
      <w:rFonts w:eastAsiaTheme="minorHAnsi" w:cstheme="minorHAnsi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3F203A01B4B1FEE68C0E469AA5D8A561C26325536F58BD0C55342C5B527EAD4D2AF098CB68BE292B2B96F69497EF90081BEF789F333948AABAC410k1qC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1016</Words>
  <Characters>5795</Characters>
  <Application>Microsoft Office Word</Application>
  <DocSecurity>8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Наталья Петровна</dc:creator>
  <cp:lastModifiedBy>Козлова Надежда Юрьевна</cp:lastModifiedBy>
  <cp:revision>8</cp:revision>
  <cp:lastPrinted>2021-10-29T05:56:00Z</cp:lastPrinted>
  <dcterms:created xsi:type="dcterms:W3CDTF">2020-10-14T14:57:00Z</dcterms:created>
  <dcterms:modified xsi:type="dcterms:W3CDTF">2021-10-29T05:57:00Z</dcterms:modified>
</cp:coreProperties>
</file>